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AE7" w:rsidRPr="00FD1AE7" w:rsidRDefault="009F2B19" w:rsidP="00FD1AE7">
      <w:pPr>
        <w:spacing w:after="0" w:line="240" w:lineRule="auto"/>
        <w:jc w:val="center"/>
        <w:rPr>
          <w:rFonts w:ascii="Arial" w:eastAsia="Times New Roman" w:hAnsi="Arial" w:cs="Arial"/>
          <w:b/>
          <w:sz w:val="28"/>
          <w:szCs w:val="28"/>
          <w:lang w:val="en-US"/>
        </w:rPr>
      </w:pPr>
      <w:r>
        <w:rPr>
          <w:rFonts w:ascii="Arial" w:eastAsia="Times New Roman" w:hAnsi="Arial" w:cs="Arial"/>
          <w:b/>
          <w:sz w:val="28"/>
          <w:szCs w:val="28"/>
          <w:lang w:val="en-US"/>
        </w:rPr>
        <w:t xml:space="preserve">ADDENDUM TO </w:t>
      </w:r>
      <w:r w:rsidR="00FD1AE7" w:rsidRPr="00FD1AE7">
        <w:rPr>
          <w:rFonts w:ascii="Arial" w:eastAsia="Times New Roman" w:hAnsi="Arial" w:cs="Arial"/>
          <w:b/>
          <w:sz w:val="28"/>
          <w:szCs w:val="28"/>
          <w:lang w:val="en-US"/>
        </w:rPr>
        <w:t>COUNCIL ASSESSMENT REPORT</w:t>
      </w:r>
    </w:p>
    <w:p w:rsidR="00FD1AE7" w:rsidRPr="00FD1AE7" w:rsidRDefault="00FD1AE7" w:rsidP="00FD1AE7">
      <w:pPr>
        <w:spacing w:after="0" w:line="240" w:lineRule="auto"/>
        <w:jc w:val="center"/>
        <w:rPr>
          <w:rFonts w:ascii="Calibri" w:eastAsia="Times New Roman" w:hAnsi="Calibri" w:cs="Tahoma"/>
          <w:b/>
          <w:sz w:val="16"/>
          <w:szCs w:val="16"/>
          <w:lang w:val="en-US"/>
        </w:rPr>
      </w:pPr>
    </w:p>
    <w:tbl>
      <w:tblPr>
        <w:tblW w:w="4496" w:type="pct"/>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3"/>
        <w:gridCol w:w="5464"/>
      </w:tblGrid>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Panel Reference</w:t>
            </w:r>
          </w:p>
        </w:tc>
        <w:tc>
          <w:tcPr>
            <w:tcW w:w="5465" w:type="dxa"/>
          </w:tcPr>
          <w:p w:rsidR="00FD1AE7" w:rsidRPr="00FD1AE7" w:rsidRDefault="00FD1AE7" w:rsidP="00FD1AE7">
            <w:pPr>
              <w:spacing w:after="0" w:line="240" w:lineRule="auto"/>
              <w:rPr>
                <w:rFonts w:ascii="Calibri" w:eastAsia="Times New Roman" w:hAnsi="Calibri" w:cs="Calibri"/>
                <w:b/>
                <w:bCs/>
              </w:rPr>
            </w:pPr>
            <w:r w:rsidRPr="00FD1AE7">
              <w:rPr>
                <w:rFonts w:ascii="Calibri" w:eastAsia="Times New Roman" w:hAnsi="Calibri" w:cs="Calibri"/>
                <w:b/>
                <w:bCs/>
              </w:rPr>
              <w:t>2017NTH004</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DA Number</w:t>
            </w:r>
          </w:p>
        </w:tc>
        <w:tc>
          <w:tcPr>
            <w:tcW w:w="5465" w:type="dxa"/>
          </w:tcPr>
          <w:p w:rsidR="00FD1AE7" w:rsidRPr="00FD1AE7" w:rsidRDefault="00FD1AE7" w:rsidP="00FD1AE7">
            <w:pPr>
              <w:spacing w:after="0" w:line="240" w:lineRule="auto"/>
              <w:rPr>
                <w:rFonts w:ascii="Calibri" w:eastAsia="Times New Roman" w:hAnsi="Calibri" w:cs="Calibri"/>
                <w:b/>
                <w:bCs/>
              </w:rPr>
            </w:pPr>
            <w:r w:rsidRPr="00FD1AE7">
              <w:rPr>
                <w:rFonts w:ascii="Calibri" w:eastAsia="Times New Roman" w:hAnsi="Calibri" w:cs="Calibri"/>
                <w:b/>
                <w:bCs/>
              </w:rPr>
              <w:t>DA2016/45</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LGA</w:t>
            </w:r>
          </w:p>
        </w:tc>
        <w:tc>
          <w:tcPr>
            <w:tcW w:w="5465" w:type="dxa"/>
          </w:tcPr>
          <w:p w:rsidR="00FD1AE7" w:rsidRPr="00FD1AE7" w:rsidRDefault="00FD1AE7" w:rsidP="00FD1AE7">
            <w:pPr>
              <w:spacing w:after="0" w:line="240" w:lineRule="auto"/>
              <w:rPr>
                <w:rFonts w:ascii="Calibri" w:eastAsia="Times New Roman" w:hAnsi="Calibri" w:cs="Calibri"/>
                <w:b/>
                <w:bCs/>
              </w:rPr>
            </w:pPr>
            <w:r w:rsidRPr="00FD1AE7">
              <w:rPr>
                <w:rFonts w:ascii="Calibri" w:eastAsia="Times New Roman" w:hAnsi="Calibri" w:cs="Calibri"/>
                <w:b/>
                <w:bCs/>
              </w:rPr>
              <w:t>Moree Plains Shire Council</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Proposed Development</w:t>
            </w:r>
          </w:p>
        </w:tc>
        <w:tc>
          <w:tcPr>
            <w:tcW w:w="5465" w:type="dxa"/>
          </w:tcPr>
          <w:p w:rsidR="00FD1AE7" w:rsidRPr="00FD1AE7" w:rsidRDefault="00FD1AE7" w:rsidP="00FD1AE7">
            <w:pPr>
              <w:spacing w:after="0" w:line="240" w:lineRule="auto"/>
              <w:rPr>
                <w:rFonts w:ascii="Calibri" w:eastAsia="Times New Roman" w:hAnsi="Calibri" w:cs="Calibri"/>
                <w:b/>
                <w:bCs/>
              </w:rPr>
            </w:pPr>
            <w:r w:rsidRPr="00FD1AE7">
              <w:rPr>
                <w:rFonts w:ascii="Calibri" w:eastAsia="Times New Roman" w:hAnsi="Calibri" w:cs="Calibri"/>
                <w:b/>
                <w:bCs/>
              </w:rPr>
              <w:t>Extension of existing quarry</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Street Address</w:t>
            </w:r>
          </w:p>
        </w:tc>
        <w:tc>
          <w:tcPr>
            <w:tcW w:w="5465" w:type="dxa"/>
          </w:tcPr>
          <w:p w:rsidR="00FD1AE7" w:rsidRPr="00FD1AE7" w:rsidRDefault="00FD1AE7" w:rsidP="00FD1AE7">
            <w:pPr>
              <w:spacing w:after="0" w:line="240" w:lineRule="auto"/>
              <w:rPr>
                <w:rFonts w:ascii="Calibri" w:eastAsia="Times New Roman" w:hAnsi="Calibri" w:cs="Calibri"/>
                <w:b/>
                <w:bCs/>
              </w:rPr>
            </w:pPr>
            <w:r w:rsidRPr="00FD1AE7">
              <w:rPr>
                <w:rFonts w:ascii="Calibri" w:eastAsia="Times New Roman" w:hAnsi="Calibri" w:cs="Calibri"/>
                <w:b/>
                <w:bCs/>
              </w:rPr>
              <w:t>“</w:t>
            </w:r>
            <w:proofErr w:type="spellStart"/>
            <w:r w:rsidRPr="00FD1AE7">
              <w:rPr>
                <w:rFonts w:ascii="Calibri" w:eastAsia="Times New Roman" w:hAnsi="Calibri" w:cs="Calibri"/>
                <w:b/>
                <w:bCs/>
              </w:rPr>
              <w:t>Wandoona</w:t>
            </w:r>
            <w:proofErr w:type="spellEnd"/>
            <w:r w:rsidRPr="00FD1AE7">
              <w:rPr>
                <w:rFonts w:ascii="Calibri" w:eastAsia="Times New Roman" w:hAnsi="Calibri" w:cs="Calibri"/>
                <w:b/>
                <w:bCs/>
              </w:rPr>
              <w:t xml:space="preserve">” </w:t>
            </w:r>
            <w:proofErr w:type="spellStart"/>
            <w:r w:rsidRPr="00FD1AE7">
              <w:rPr>
                <w:rFonts w:ascii="Calibri" w:eastAsia="Times New Roman" w:hAnsi="Calibri" w:cs="Calibri"/>
                <w:b/>
                <w:bCs/>
              </w:rPr>
              <w:t>Gwydirfield</w:t>
            </w:r>
            <w:proofErr w:type="spellEnd"/>
            <w:r w:rsidRPr="00FD1AE7">
              <w:rPr>
                <w:rFonts w:ascii="Calibri" w:eastAsia="Times New Roman" w:hAnsi="Calibri" w:cs="Calibri"/>
                <w:b/>
                <w:bCs/>
              </w:rPr>
              <w:t xml:space="preserve"> Road, MOREE, Lot 5 DP 236547</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Applicant/Owner</w:t>
            </w:r>
          </w:p>
        </w:tc>
        <w:tc>
          <w:tcPr>
            <w:tcW w:w="5465" w:type="dxa"/>
          </w:tcPr>
          <w:p w:rsidR="00FD1AE7" w:rsidRPr="00FD1AE7" w:rsidRDefault="00FD1AE7" w:rsidP="00FD1AE7">
            <w:pPr>
              <w:tabs>
                <w:tab w:val="left" w:pos="5"/>
              </w:tabs>
              <w:spacing w:after="0" w:line="240" w:lineRule="auto"/>
              <w:jc w:val="both"/>
              <w:rPr>
                <w:rFonts w:ascii="Calibri" w:eastAsia="Times New Roman" w:hAnsi="Calibri" w:cs="Calibri"/>
                <w:lang w:val="en-US"/>
              </w:rPr>
            </w:pPr>
            <w:r w:rsidRPr="00FD1AE7">
              <w:rPr>
                <w:rFonts w:ascii="Calibri" w:eastAsia="Times New Roman" w:hAnsi="Calibri" w:cs="Calibri"/>
              </w:rPr>
              <w:t xml:space="preserve">The applicant is Johnstone Concrete &amp; Quarries Pty Ltd and the land owner is </w:t>
            </w:r>
            <w:proofErr w:type="spellStart"/>
            <w:r w:rsidRPr="00FD1AE7">
              <w:rPr>
                <w:rFonts w:ascii="Calibri" w:eastAsia="Times New Roman" w:hAnsi="Calibri" w:cs="Calibri"/>
              </w:rPr>
              <w:t>Wandoona</w:t>
            </w:r>
            <w:proofErr w:type="spellEnd"/>
            <w:r w:rsidRPr="00FD1AE7">
              <w:rPr>
                <w:rFonts w:ascii="Calibri" w:eastAsia="Times New Roman" w:hAnsi="Calibri" w:cs="Calibri"/>
              </w:rPr>
              <w:t xml:space="preserve"> Pty Ltd.</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Date of DA lodgement</w:t>
            </w:r>
          </w:p>
        </w:tc>
        <w:tc>
          <w:tcPr>
            <w:tcW w:w="5465" w:type="dxa"/>
          </w:tcPr>
          <w:p w:rsidR="00FD1AE7" w:rsidRPr="00FD1AE7" w:rsidRDefault="00FD1AE7" w:rsidP="00FD1AE7">
            <w:pPr>
              <w:tabs>
                <w:tab w:val="left" w:pos="5"/>
              </w:tabs>
              <w:spacing w:after="0" w:line="240" w:lineRule="auto"/>
              <w:jc w:val="both"/>
              <w:rPr>
                <w:rFonts w:ascii="Calibri" w:eastAsia="Times New Roman" w:hAnsi="Calibri" w:cs="Calibri"/>
                <w:lang w:val="en-US"/>
              </w:rPr>
            </w:pPr>
            <w:r w:rsidRPr="00FD1AE7">
              <w:rPr>
                <w:rFonts w:ascii="Calibri" w:eastAsia="Times New Roman" w:hAnsi="Calibri" w:cs="Calibri"/>
                <w:lang w:val="en-US"/>
              </w:rPr>
              <w:t>28 June 2016</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Number of Submissions</w:t>
            </w:r>
          </w:p>
        </w:tc>
        <w:tc>
          <w:tcPr>
            <w:tcW w:w="5465" w:type="dxa"/>
          </w:tcPr>
          <w:p w:rsidR="00FD1AE7" w:rsidRPr="00FD1AE7" w:rsidRDefault="00FD1AE7" w:rsidP="00FD1AE7">
            <w:pPr>
              <w:spacing w:after="0" w:line="240" w:lineRule="auto"/>
              <w:rPr>
                <w:rFonts w:ascii="Calibri" w:eastAsia="Times New Roman" w:hAnsi="Calibri" w:cs="Calibri"/>
                <w:b/>
                <w:bCs/>
              </w:rPr>
            </w:pPr>
            <w:r w:rsidRPr="00FD1AE7">
              <w:rPr>
                <w:rFonts w:ascii="Calibri" w:eastAsia="Times New Roman" w:hAnsi="Calibri" w:cs="Calibri"/>
                <w:b/>
                <w:bCs/>
              </w:rPr>
              <w:t>4</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Recommendation</w:t>
            </w:r>
          </w:p>
        </w:tc>
        <w:tc>
          <w:tcPr>
            <w:tcW w:w="5465" w:type="dxa"/>
          </w:tcPr>
          <w:p w:rsidR="00FD1AE7" w:rsidRPr="00FD1AE7" w:rsidRDefault="00FD1AE7" w:rsidP="00FD1AE7">
            <w:pPr>
              <w:spacing w:after="0" w:line="240" w:lineRule="auto"/>
              <w:rPr>
                <w:rFonts w:ascii="Calibri" w:eastAsia="Times New Roman" w:hAnsi="Calibri" w:cs="Calibri"/>
                <w:b/>
                <w:bCs/>
              </w:rPr>
            </w:pPr>
            <w:r w:rsidRPr="00FD1AE7">
              <w:rPr>
                <w:rFonts w:ascii="Calibri" w:eastAsia="Times New Roman" w:hAnsi="Calibri" w:cs="Calibri"/>
                <w:b/>
                <w:bCs/>
              </w:rPr>
              <w:t>Approval</w:t>
            </w:r>
          </w:p>
        </w:tc>
      </w:tr>
      <w:tr w:rsidR="00FD1AE7" w:rsidRPr="00FD1AE7" w:rsidTr="009F2B19">
        <w:trPr>
          <w:trHeight w:val="778"/>
        </w:trPr>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Regional Development Criteria (Schedule 7 of the SEPP (State and Regional Development) 2011</w:t>
            </w:r>
          </w:p>
        </w:tc>
        <w:tc>
          <w:tcPr>
            <w:tcW w:w="5465" w:type="dxa"/>
          </w:tcPr>
          <w:p w:rsidR="00FD1AE7" w:rsidRPr="00FD1AE7" w:rsidRDefault="00FD1AE7" w:rsidP="00FD1AE7">
            <w:pPr>
              <w:spacing w:after="0" w:line="240" w:lineRule="auto"/>
              <w:rPr>
                <w:rFonts w:ascii="Calibri" w:eastAsia="Times New Roman" w:hAnsi="Calibri" w:cs="Calibri"/>
                <w:bCs/>
              </w:rPr>
            </w:pPr>
            <w:r w:rsidRPr="00FD1AE7">
              <w:rPr>
                <w:rFonts w:ascii="Calibri" w:eastAsia="Times New Roman" w:hAnsi="Calibri" w:cs="Calibri"/>
                <w:bCs/>
              </w:rPr>
              <w:t>Development for the purposes of extractive industries, which meet the requirements for designated development under clause 19 of Schedule 3 to the Environmental Planning and Assessment Regulation 2000</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List of all relevant s4.15(1)(a) matters</w:t>
            </w:r>
          </w:p>
          <w:p w:rsidR="00FD1AE7" w:rsidRPr="00FD1AE7" w:rsidRDefault="00FD1AE7" w:rsidP="00FD1AE7">
            <w:pPr>
              <w:spacing w:after="120" w:line="240" w:lineRule="auto"/>
              <w:rPr>
                <w:rFonts w:ascii="Calibri" w:eastAsia="Times New Roman" w:hAnsi="Calibri" w:cs="Calibri"/>
                <w:b/>
                <w:bCs/>
              </w:rPr>
            </w:pPr>
          </w:p>
        </w:tc>
        <w:tc>
          <w:tcPr>
            <w:tcW w:w="5465" w:type="dxa"/>
          </w:tcPr>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State Environmental Planning Policy (Koala Habitat Protection) 2019</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State Environmental Planning Policy 55 – Remediation of Land</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State Environmental Planning Policy (Mining, Petroleum Production and Extractive Industries) 2007</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State Environmental Planning Policy (Rural Lands) 2008</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State Environmental Planning Policy (State and Regional Development) 2011</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New England North West Regional Plan 2036</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Moree Plains Local Environmental Plan 2011</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Moree Plains Development Control Plan 2013</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List all documents submitted with this report for the Panel’s consideration</w:t>
            </w:r>
          </w:p>
        </w:tc>
        <w:tc>
          <w:tcPr>
            <w:tcW w:w="5465" w:type="dxa"/>
          </w:tcPr>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Location plan</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Site plan</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Statement of Environmental Effects</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rPr>
            </w:pPr>
            <w:r w:rsidRPr="00FD1AE7">
              <w:rPr>
                <w:rFonts w:ascii="Calibri" w:eastAsia="Times New Roman" w:hAnsi="Calibri" w:cs="Calibri"/>
              </w:rPr>
              <w:t>Submission from Roads &amp; Maritime Services</w:t>
            </w:r>
          </w:p>
          <w:p w:rsidR="00FD1AE7" w:rsidRPr="00FD1AE7" w:rsidRDefault="00FD1AE7" w:rsidP="00FD1AE7">
            <w:pPr>
              <w:numPr>
                <w:ilvl w:val="0"/>
                <w:numId w:val="1"/>
              </w:numPr>
              <w:spacing w:after="0" w:line="240" w:lineRule="auto"/>
              <w:ind w:left="673" w:hanging="425"/>
              <w:contextualSpacing/>
              <w:rPr>
                <w:rFonts w:ascii="Calibri" w:eastAsia="Times New Roman" w:hAnsi="Calibri" w:cs="Calibri"/>
                <w:b/>
                <w:bCs/>
              </w:rPr>
            </w:pPr>
            <w:r w:rsidRPr="00FD1AE7">
              <w:rPr>
                <w:rFonts w:ascii="Calibri" w:eastAsia="Times New Roman" w:hAnsi="Calibri" w:cs="Calibri"/>
              </w:rPr>
              <w:t>Draft conditions of approval</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Report prepared by</w:t>
            </w:r>
          </w:p>
        </w:tc>
        <w:tc>
          <w:tcPr>
            <w:tcW w:w="5465" w:type="dxa"/>
          </w:tcPr>
          <w:p w:rsidR="00FD1AE7" w:rsidRPr="00FD1AE7" w:rsidRDefault="00FD1AE7" w:rsidP="00FD1AE7">
            <w:pPr>
              <w:spacing w:after="0" w:line="240" w:lineRule="auto"/>
              <w:rPr>
                <w:rFonts w:ascii="Calibri" w:eastAsia="Times New Roman" w:hAnsi="Calibri" w:cs="Calibri"/>
                <w:b/>
                <w:bCs/>
              </w:rPr>
            </w:pPr>
            <w:r w:rsidRPr="00FD1AE7">
              <w:rPr>
                <w:rFonts w:ascii="Calibri" w:eastAsia="Times New Roman" w:hAnsi="Calibri" w:cs="Calibri"/>
                <w:b/>
                <w:bCs/>
              </w:rPr>
              <w:t>Murray Amos</w:t>
            </w:r>
          </w:p>
        </w:tc>
      </w:tr>
      <w:tr w:rsidR="00FD1AE7" w:rsidRPr="00FD1AE7" w:rsidTr="009F2B19">
        <w:tc>
          <w:tcPr>
            <w:tcW w:w="2643" w:type="dxa"/>
            <w:shd w:val="clear" w:color="auto" w:fill="E7E6E6"/>
          </w:tcPr>
          <w:p w:rsidR="00FD1AE7" w:rsidRPr="00FD1AE7" w:rsidRDefault="00FD1AE7" w:rsidP="00FD1AE7">
            <w:pPr>
              <w:spacing w:after="120" w:line="240" w:lineRule="auto"/>
              <w:rPr>
                <w:rFonts w:ascii="Calibri" w:eastAsia="Times New Roman" w:hAnsi="Calibri" w:cs="Calibri"/>
                <w:b/>
                <w:bCs/>
              </w:rPr>
            </w:pPr>
            <w:r w:rsidRPr="00FD1AE7">
              <w:rPr>
                <w:rFonts w:ascii="Calibri" w:eastAsia="Times New Roman" w:hAnsi="Calibri" w:cs="Calibri"/>
                <w:b/>
                <w:bCs/>
              </w:rPr>
              <w:t>Report date</w:t>
            </w:r>
          </w:p>
        </w:tc>
        <w:tc>
          <w:tcPr>
            <w:tcW w:w="5465" w:type="dxa"/>
          </w:tcPr>
          <w:p w:rsidR="00FD1AE7" w:rsidRPr="00FD1AE7" w:rsidRDefault="00616A26" w:rsidP="00FD1AE7">
            <w:pPr>
              <w:spacing w:after="0" w:line="240" w:lineRule="auto"/>
              <w:rPr>
                <w:rFonts w:ascii="Calibri" w:eastAsia="Times New Roman" w:hAnsi="Calibri" w:cs="Calibri"/>
                <w:b/>
                <w:bCs/>
              </w:rPr>
            </w:pPr>
            <w:r>
              <w:rPr>
                <w:rFonts w:ascii="Calibri" w:eastAsia="Times New Roman" w:hAnsi="Calibri" w:cs="Calibri"/>
                <w:b/>
                <w:bCs/>
              </w:rPr>
              <w:t>8 December 2020</w:t>
            </w:r>
            <w:bookmarkStart w:id="0" w:name="_GoBack"/>
            <w:bookmarkEnd w:id="0"/>
          </w:p>
        </w:tc>
      </w:tr>
    </w:tbl>
    <w:p w:rsidR="00FD1AE7" w:rsidRPr="00FD1AE7" w:rsidRDefault="00FD1AE7" w:rsidP="00FD1AE7">
      <w:pPr>
        <w:spacing w:after="200" w:line="276" w:lineRule="auto"/>
        <w:rPr>
          <w:rFonts w:ascii="Arial" w:eastAsia="Times New Roman" w:hAnsi="Arial" w:cs="Arial"/>
          <w:b/>
          <w:color w:val="17365D"/>
          <w:spacing w:val="5"/>
          <w:kern w:val="28"/>
          <w:sz w:val="28"/>
          <w:szCs w:val="28"/>
        </w:rPr>
      </w:pPr>
      <w:r w:rsidRPr="00FD1AE7">
        <w:rPr>
          <w:rFonts w:ascii="Arial" w:eastAsia="Times New Roman" w:hAnsi="Arial" w:cs="Arial"/>
          <w:b/>
          <w:color w:val="17365D"/>
          <w:spacing w:val="5"/>
          <w:kern w:val="28"/>
          <w:sz w:val="28"/>
          <w:szCs w:val="28"/>
        </w:rPr>
        <w:br w:type="page"/>
      </w:r>
    </w:p>
    <w:p w:rsidR="00FD1AE7" w:rsidRPr="00FD1AE7" w:rsidRDefault="00FD1AE7" w:rsidP="00FD1AE7">
      <w:pPr>
        <w:spacing w:after="0" w:line="240" w:lineRule="auto"/>
        <w:ind w:left="360"/>
        <w:contextualSpacing/>
        <w:rPr>
          <w:rFonts w:ascii="Book Antiqua" w:eastAsia="Calibri" w:hAnsi="Book Antiqua" w:cs="Arial"/>
          <w:b/>
        </w:rPr>
      </w:pPr>
    </w:p>
    <w:p w:rsidR="00FD1AE7" w:rsidRPr="00FD1AE7" w:rsidRDefault="009F2B19" w:rsidP="00FD1AE7">
      <w:pPr>
        <w:spacing w:after="120" w:line="240" w:lineRule="auto"/>
        <w:outlineLvl w:val="1"/>
        <w:rPr>
          <w:rFonts w:ascii="Arial" w:eastAsia="Calibri" w:hAnsi="Arial" w:cs="Arial"/>
          <w:b/>
          <w:sz w:val="24"/>
          <w:szCs w:val="24"/>
        </w:rPr>
      </w:pPr>
      <w:r>
        <w:rPr>
          <w:rFonts w:ascii="Arial" w:eastAsia="Calibri" w:hAnsi="Arial" w:cs="Arial"/>
          <w:b/>
          <w:sz w:val="24"/>
          <w:szCs w:val="24"/>
        </w:rPr>
        <w:t>State Environmental Planning Policy (</w:t>
      </w:r>
      <w:r w:rsidRPr="009F2B19">
        <w:rPr>
          <w:rFonts w:ascii="Arial" w:eastAsia="Calibri" w:hAnsi="Arial" w:cs="Arial"/>
          <w:b/>
          <w:sz w:val="24"/>
          <w:szCs w:val="24"/>
        </w:rPr>
        <w:t>Mining, Petroleum Production and Extractive Industries) 2007</w:t>
      </w:r>
    </w:p>
    <w:p w:rsidR="00AD01CE" w:rsidRPr="00AD01CE" w:rsidRDefault="00AD01CE" w:rsidP="00AD01CE">
      <w:pPr>
        <w:spacing w:after="200" w:line="276" w:lineRule="auto"/>
        <w:jc w:val="both"/>
        <w:rPr>
          <w:rFonts w:ascii="Book Antiqua" w:eastAsia="Calibri" w:hAnsi="Book Antiqua" w:cs="Times New Roman"/>
        </w:rPr>
      </w:pPr>
      <w:r w:rsidRPr="00AD01CE">
        <w:rPr>
          <w:rFonts w:ascii="Book Antiqua" w:eastAsia="Calibri" w:hAnsi="Book Antiqua" w:cs="Times New Roman"/>
        </w:rPr>
        <w:t>Th</w:t>
      </w:r>
      <w:r>
        <w:rPr>
          <w:rFonts w:ascii="Book Antiqua" w:eastAsia="Calibri" w:hAnsi="Book Antiqua" w:cs="Times New Roman"/>
        </w:rPr>
        <w:t>is SEPP has the following aims:</w:t>
      </w:r>
    </w:p>
    <w:p w:rsidR="00AD01CE" w:rsidRPr="00AD01CE" w:rsidRDefault="00AD01CE" w:rsidP="00AD01CE">
      <w:pPr>
        <w:spacing w:after="200" w:line="276" w:lineRule="auto"/>
        <w:jc w:val="both"/>
        <w:rPr>
          <w:rFonts w:ascii="Book Antiqua" w:eastAsia="Calibri" w:hAnsi="Book Antiqua" w:cs="Times New Roman"/>
          <w:i/>
        </w:rPr>
      </w:pPr>
      <w:r w:rsidRPr="00AD01CE">
        <w:rPr>
          <w:rFonts w:ascii="Book Antiqua" w:eastAsia="Calibri" w:hAnsi="Book Antiqua" w:cs="Times New Roman"/>
          <w:i/>
        </w:rPr>
        <w:t xml:space="preserve">a) </w:t>
      </w:r>
      <w:r w:rsidRPr="00AD01CE">
        <w:rPr>
          <w:rFonts w:ascii="Book Antiqua" w:eastAsia="Calibri" w:hAnsi="Book Antiqua" w:cs="Times New Roman"/>
          <w:i/>
        </w:rPr>
        <w:tab/>
        <w:t>To provide for the proper management and development of mineral, petroleum and extractive material resources for the purpose of promoting the social and economic welfare of the State, and</w:t>
      </w:r>
    </w:p>
    <w:p w:rsidR="00AD01CE" w:rsidRPr="00AD01CE" w:rsidRDefault="00AD01CE" w:rsidP="00AD01CE">
      <w:pPr>
        <w:spacing w:after="200" w:line="276" w:lineRule="auto"/>
        <w:jc w:val="both"/>
        <w:rPr>
          <w:rFonts w:ascii="Book Antiqua" w:eastAsia="Calibri" w:hAnsi="Book Antiqua" w:cs="Times New Roman"/>
          <w:i/>
        </w:rPr>
      </w:pPr>
      <w:r w:rsidRPr="00AD01CE">
        <w:rPr>
          <w:rFonts w:ascii="Book Antiqua" w:eastAsia="Calibri" w:hAnsi="Book Antiqua" w:cs="Times New Roman"/>
          <w:i/>
        </w:rPr>
        <w:t xml:space="preserve">b) </w:t>
      </w:r>
      <w:r w:rsidRPr="00AD01CE">
        <w:rPr>
          <w:rFonts w:ascii="Book Antiqua" w:eastAsia="Calibri" w:hAnsi="Book Antiqua" w:cs="Times New Roman"/>
          <w:i/>
        </w:rPr>
        <w:tab/>
        <w:t>To facilitate the orderly and economic use and development of land containing mineral, petroleum and extractive material resources, and</w:t>
      </w:r>
    </w:p>
    <w:p w:rsidR="00AD01CE" w:rsidRPr="00AD01CE" w:rsidRDefault="00AD01CE" w:rsidP="00AD01CE">
      <w:pPr>
        <w:spacing w:after="200" w:line="276" w:lineRule="auto"/>
        <w:jc w:val="both"/>
        <w:rPr>
          <w:rFonts w:ascii="Book Antiqua" w:eastAsia="Calibri" w:hAnsi="Book Antiqua" w:cs="Times New Roman"/>
          <w:i/>
        </w:rPr>
      </w:pPr>
      <w:r w:rsidRPr="00AD01CE">
        <w:rPr>
          <w:rFonts w:ascii="Book Antiqua" w:eastAsia="Calibri" w:hAnsi="Book Antiqua" w:cs="Times New Roman"/>
          <w:i/>
        </w:rPr>
        <w:t xml:space="preserve">c) </w:t>
      </w:r>
      <w:r w:rsidRPr="00AD01CE">
        <w:rPr>
          <w:rFonts w:ascii="Book Antiqua" w:eastAsia="Calibri" w:hAnsi="Book Antiqua" w:cs="Times New Roman"/>
          <w:i/>
        </w:rPr>
        <w:tab/>
        <w:t>To establish appropriate planning controls to encourage ecologically sustainable development through the environmental assessment, and sustainable management, of development of mineral, petroleum and extractive material resources.</w:t>
      </w:r>
    </w:p>
    <w:p w:rsidR="009713CC" w:rsidRDefault="00AD01CE" w:rsidP="00562E8C">
      <w:pPr>
        <w:spacing w:after="200" w:line="276" w:lineRule="auto"/>
        <w:jc w:val="both"/>
        <w:rPr>
          <w:rFonts w:ascii="Book Antiqua" w:eastAsia="Calibri" w:hAnsi="Book Antiqua" w:cs="Times New Roman"/>
        </w:rPr>
      </w:pPr>
      <w:r>
        <w:rPr>
          <w:rFonts w:ascii="Book Antiqua" w:eastAsia="Calibri" w:hAnsi="Book Antiqua" w:cs="Times New Roman"/>
        </w:rPr>
        <w:t xml:space="preserve">Clause </w:t>
      </w:r>
      <w:r w:rsidR="00562E8C" w:rsidRPr="00562E8C">
        <w:rPr>
          <w:rFonts w:ascii="Book Antiqua" w:eastAsia="Calibri" w:hAnsi="Book Antiqua" w:cs="Times New Roman"/>
        </w:rPr>
        <w:t xml:space="preserve">14 </w:t>
      </w:r>
      <w:r>
        <w:rPr>
          <w:rFonts w:ascii="Book Antiqua" w:eastAsia="Calibri" w:hAnsi="Book Antiqua" w:cs="Times New Roman"/>
        </w:rPr>
        <w:t>of the SEPP addresses n</w:t>
      </w:r>
      <w:r w:rsidR="00562E8C" w:rsidRPr="00562E8C">
        <w:rPr>
          <w:rFonts w:ascii="Book Antiqua" w:eastAsia="Calibri" w:hAnsi="Book Antiqua" w:cs="Times New Roman"/>
        </w:rPr>
        <w:t>atural resource management and environmental management</w:t>
      </w:r>
      <w:r>
        <w:rPr>
          <w:rFonts w:ascii="Book Antiqua" w:eastAsia="Calibri" w:hAnsi="Book Antiqua" w:cs="Times New Roman"/>
        </w:rPr>
        <w:t xml:space="preserve">. </w:t>
      </w:r>
    </w:p>
    <w:p w:rsidR="00562E8C" w:rsidRDefault="00AD01CE" w:rsidP="00562E8C">
      <w:pPr>
        <w:spacing w:after="200" w:line="276" w:lineRule="auto"/>
        <w:jc w:val="both"/>
        <w:rPr>
          <w:rFonts w:ascii="Book Antiqua" w:eastAsia="Calibri" w:hAnsi="Book Antiqua" w:cs="Times New Roman"/>
        </w:rPr>
      </w:pPr>
      <w:r w:rsidRPr="00AD01CE">
        <w:rPr>
          <w:rFonts w:ascii="Book Antiqua" w:eastAsia="Calibri" w:hAnsi="Book Antiqua" w:cs="Times New Roman"/>
        </w:rPr>
        <w:t>Clause 14(2)</w:t>
      </w:r>
      <w:r w:rsidR="009713CC">
        <w:rPr>
          <w:rFonts w:ascii="Book Antiqua" w:eastAsia="Calibri" w:hAnsi="Book Antiqua" w:cs="Times New Roman"/>
        </w:rPr>
        <w:t xml:space="preserve"> requires that ‘in determining </w:t>
      </w:r>
      <w:r w:rsidR="00562E8C" w:rsidRPr="00562E8C">
        <w:rPr>
          <w:rFonts w:ascii="Book Antiqua" w:eastAsia="Calibri" w:hAnsi="Book Antiqua" w:cs="Times New Roman"/>
        </w:rPr>
        <w:t>a development application for development for the purposes of mining, petroleum production or extractive industry, the consent authority must consider an assessment of the greenhouse gas emissions (including downstream emissions) of the development, and must do so having regard to any applicable State or national policies, programs or guidelines concerning greenhouse gas emissions.</w:t>
      </w:r>
      <w:r w:rsidR="009713CC">
        <w:rPr>
          <w:rFonts w:ascii="Book Antiqua" w:eastAsia="Calibri" w:hAnsi="Book Antiqua" w:cs="Times New Roman"/>
        </w:rPr>
        <w:t>’</w:t>
      </w:r>
    </w:p>
    <w:p w:rsidR="00E01729" w:rsidRDefault="00D319F9" w:rsidP="00FD1AE7">
      <w:pPr>
        <w:spacing w:after="200" w:line="276" w:lineRule="auto"/>
        <w:jc w:val="both"/>
        <w:rPr>
          <w:rFonts w:ascii="Book Antiqua" w:eastAsia="Calibri" w:hAnsi="Book Antiqua" w:cs="Times New Roman"/>
        </w:rPr>
      </w:pPr>
      <w:r>
        <w:rPr>
          <w:rFonts w:ascii="Book Antiqua" w:eastAsia="Calibri" w:hAnsi="Book Antiqua" w:cs="Times New Roman"/>
        </w:rPr>
        <w:t>With regard to the requirements of clause 14(2) an assessment has been made using the National Greenhouse and Energy Reporting Act 2007 (NGER Act). This Act provides a national system for reporting greenhouse gas emissions</w:t>
      </w:r>
      <w:r w:rsidR="00E01729">
        <w:rPr>
          <w:rFonts w:ascii="Book Antiqua" w:eastAsia="Calibri" w:hAnsi="Book Antiqua" w:cs="Times New Roman"/>
        </w:rPr>
        <w:t xml:space="preserve">, energy consumption and energy production by corporations. </w:t>
      </w:r>
    </w:p>
    <w:p w:rsidR="00562E8C" w:rsidRDefault="00E01729" w:rsidP="00FD1AE7">
      <w:pPr>
        <w:spacing w:after="200" w:line="276" w:lineRule="auto"/>
        <w:jc w:val="both"/>
        <w:rPr>
          <w:rFonts w:ascii="Book Antiqua" w:eastAsia="Calibri" w:hAnsi="Book Antiqua" w:cs="Times New Roman"/>
        </w:rPr>
      </w:pPr>
      <w:r>
        <w:rPr>
          <w:rFonts w:ascii="Book Antiqua" w:eastAsia="Calibri" w:hAnsi="Book Antiqua" w:cs="Times New Roman"/>
        </w:rPr>
        <w:t xml:space="preserve">The </w:t>
      </w:r>
      <w:r w:rsidR="00D82CE3">
        <w:rPr>
          <w:rFonts w:ascii="Book Antiqua" w:eastAsia="Calibri" w:hAnsi="Book Antiqua" w:cs="Times New Roman"/>
        </w:rPr>
        <w:t xml:space="preserve">NGER </w:t>
      </w:r>
      <w:r>
        <w:rPr>
          <w:rFonts w:ascii="Book Antiqua" w:eastAsia="Calibri" w:hAnsi="Book Antiqua" w:cs="Times New Roman"/>
        </w:rPr>
        <w:t xml:space="preserve">Act sets out thresholds which determine registration and reporting requirements. The proposed quarry development has been assessed against these thresholds by SMK Consultants (report attached). </w:t>
      </w:r>
    </w:p>
    <w:p w:rsidR="00817F08" w:rsidRDefault="00817F08" w:rsidP="00FD1AE7">
      <w:pPr>
        <w:spacing w:after="200" w:line="276" w:lineRule="auto"/>
        <w:jc w:val="both"/>
        <w:rPr>
          <w:rFonts w:ascii="Book Antiqua" w:eastAsia="Calibri" w:hAnsi="Book Antiqua" w:cs="Times New Roman"/>
        </w:rPr>
      </w:pPr>
      <w:r>
        <w:rPr>
          <w:rFonts w:ascii="Book Antiqua" w:eastAsia="Calibri" w:hAnsi="Book Antiqua" w:cs="Times New Roman"/>
        </w:rPr>
        <w:t>The SMK assessment utilised the NGER Emission and Energy Threshold Calculator 2019-20 and produced the following results:</w:t>
      </w:r>
    </w:p>
    <w:p w:rsidR="00817F08" w:rsidRDefault="00817F08" w:rsidP="00817F08">
      <w:pPr>
        <w:pStyle w:val="ListParagraph"/>
        <w:numPr>
          <w:ilvl w:val="0"/>
          <w:numId w:val="2"/>
        </w:numPr>
        <w:spacing w:after="200" w:line="276" w:lineRule="auto"/>
        <w:jc w:val="both"/>
        <w:rPr>
          <w:rFonts w:ascii="Book Antiqua" w:eastAsia="Calibri" w:hAnsi="Book Antiqua" w:cs="Times New Roman"/>
        </w:rPr>
      </w:pPr>
      <w:r>
        <w:rPr>
          <w:rFonts w:ascii="Book Antiqua" w:eastAsia="Calibri" w:hAnsi="Book Antiqua" w:cs="Times New Roman"/>
        </w:rPr>
        <w:t xml:space="preserve">Total emissions </w:t>
      </w:r>
      <w:r>
        <w:rPr>
          <w:rFonts w:ascii="Book Antiqua" w:eastAsia="Calibri" w:hAnsi="Book Antiqua" w:cs="Times New Roman"/>
        </w:rPr>
        <w:tab/>
      </w:r>
      <w:r>
        <w:rPr>
          <w:rFonts w:ascii="Book Antiqua" w:eastAsia="Calibri" w:hAnsi="Book Antiqua" w:cs="Times New Roman"/>
        </w:rPr>
        <w:tab/>
        <w:t>218 tonnes CO2 (threshold 25,000t)</w:t>
      </w:r>
    </w:p>
    <w:p w:rsidR="00817F08" w:rsidRDefault="00817F08" w:rsidP="00817F08">
      <w:pPr>
        <w:pStyle w:val="ListParagraph"/>
        <w:numPr>
          <w:ilvl w:val="0"/>
          <w:numId w:val="2"/>
        </w:numPr>
        <w:spacing w:after="200" w:line="276" w:lineRule="auto"/>
        <w:jc w:val="both"/>
        <w:rPr>
          <w:rFonts w:ascii="Book Antiqua" w:eastAsia="Calibri" w:hAnsi="Book Antiqua" w:cs="Times New Roman"/>
        </w:rPr>
      </w:pPr>
      <w:r>
        <w:rPr>
          <w:rFonts w:ascii="Book Antiqua" w:eastAsia="Calibri" w:hAnsi="Book Antiqua" w:cs="Times New Roman"/>
        </w:rPr>
        <w:t xml:space="preserve">Total energy consumed </w:t>
      </w:r>
      <w:r>
        <w:rPr>
          <w:rFonts w:ascii="Book Antiqua" w:eastAsia="Calibri" w:hAnsi="Book Antiqua" w:cs="Times New Roman"/>
        </w:rPr>
        <w:tab/>
        <w:t>3,088 GJ (threshold 100,000 GJ)</w:t>
      </w:r>
    </w:p>
    <w:p w:rsidR="00817F08" w:rsidRPr="00817F08" w:rsidRDefault="00817F08" w:rsidP="00817F08">
      <w:pPr>
        <w:pStyle w:val="ListParagraph"/>
        <w:numPr>
          <w:ilvl w:val="0"/>
          <w:numId w:val="2"/>
        </w:numPr>
        <w:spacing w:after="200" w:line="276" w:lineRule="auto"/>
        <w:jc w:val="both"/>
        <w:rPr>
          <w:rFonts w:ascii="Book Antiqua" w:eastAsia="Calibri" w:hAnsi="Book Antiqua" w:cs="Times New Roman"/>
        </w:rPr>
      </w:pPr>
      <w:r>
        <w:rPr>
          <w:rFonts w:ascii="Book Antiqua" w:eastAsia="Calibri" w:hAnsi="Book Antiqua" w:cs="Times New Roman"/>
        </w:rPr>
        <w:t xml:space="preserve">Total energy produced </w:t>
      </w:r>
      <w:r>
        <w:rPr>
          <w:rFonts w:ascii="Book Antiqua" w:eastAsia="Calibri" w:hAnsi="Book Antiqua" w:cs="Times New Roman"/>
        </w:rPr>
        <w:tab/>
        <w:t>0 GJ (threshold 100,000 GJ)</w:t>
      </w:r>
    </w:p>
    <w:p w:rsidR="00E01729" w:rsidRDefault="00D82CE3" w:rsidP="00FD1AE7">
      <w:pPr>
        <w:spacing w:after="200" w:line="276" w:lineRule="auto"/>
        <w:jc w:val="both"/>
        <w:rPr>
          <w:rFonts w:ascii="Book Antiqua" w:eastAsia="Calibri" w:hAnsi="Book Antiqua" w:cs="Times New Roman"/>
        </w:rPr>
      </w:pPr>
      <w:r>
        <w:rPr>
          <w:rFonts w:ascii="Book Antiqua" w:eastAsia="Calibri" w:hAnsi="Book Antiqua" w:cs="Times New Roman"/>
        </w:rPr>
        <w:t>The quantities for CO2 emissions, energy consumption and energy production are well below the thresholds identified in the Act. On this basis the proposal does not require registration under the NGER Act.</w:t>
      </w:r>
    </w:p>
    <w:p w:rsidR="00F24974" w:rsidRDefault="00616A26"/>
    <w:sectPr w:rsidR="00F24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A79E6"/>
    <w:multiLevelType w:val="hybridMultilevel"/>
    <w:tmpl w:val="C6B2344C"/>
    <w:lvl w:ilvl="0" w:tplc="0C090001">
      <w:start w:val="1"/>
      <w:numFmt w:val="bullet"/>
      <w:lvlText w:val=""/>
      <w:lvlJc w:val="left"/>
      <w:pPr>
        <w:ind w:left="720" w:hanging="360"/>
      </w:pPr>
      <w:rPr>
        <w:rFonts w:ascii="Symbol" w:hAnsi="Symbol" w:hint="default"/>
      </w:rPr>
    </w:lvl>
    <w:lvl w:ilvl="1" w:tplc="BC128D38">
      <w:start w:val="1"/>
      <w:numFmt w:val="bullet"/>
      <w:lvlText w:val="•"/>
      <w:lvlJc w:val="left"/>
      <w:pPr>
        <w:ind w:left="1440" w:hanging="360"/>
      </w:pPr>
      <w:rPr>
        <w:rFonts w:ascii="Book Antiqua" w:eastAsiaTheme="minorHAnsi" w:hAnsi="Book Antiqua"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99703E"/>
    <w:multiLevelType w:val="hybridMultilevel"/>
    <w:tmpl w:val="983E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E7"/>
    <w:rsid w:val="002B41CE"/>
    <w:rsid w:val="00441C99"/>
    <w:rsid w:val="00562E8C"/>
    <w:rsid w:val="00616A26"/>
    <w:rsid w:val="006D49E4"/>
    <w:rsid w:val="00817F08"/>
    <w:rsid w:val="009713CC"/>
    <w:rsid w:val="009F2B19"/>
    <w:rsid w:val="00A9752C"/>
    <w:rsid w:val="00AD01CE"/>
    <w:rsid w:val="00D319F9"/>
    <w:rsid w:val="00D82CE3"/>
    <w:rsid w:val="00E01729"/>
    <w:rsid w:val="00FD1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8A07"/>
  <w15:chartTrackingRefBased/>
  <w15:docId w15:val="{48B3AA07-0FBD-4780-A9F1-480B7431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9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Amos</dc:creator>
  <cp:keywords/>
  <dc:description/>
  <cp:lastModifiedBy>Murray Amos</cp:lastModifiedBy>
  <cp:revision>6</cp:revision>
  <dcterms:created xsi:type="dcterms:W3CDTF">2020-12-07T23:35:00Z</dcterms:created>
  <dcterms:modified xsi:type="dcterms:W3CDTF">2020-12-08T04:32:00Z</dcterms:modified>
</cp:coreProperties>
</file>